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D6330" w14:textId="33A36AB1" w:rsidR="00A25507" w:rsidRPr="00B6588A" w:rsidRDefault="00B6588A">
      <w:pPr>
        <w:rPr>
          <w:rFonts w:ascii="Times New Roman" w:hAnsi="Times New Roman" w:cs="Times New Roman"/>
          <w:b/>
          <w:bCs/>
          <w:sz w:val="32"/>
          <w:szCs w:val="32"/>
        </w:rPr>
      </w:pPr>
      <w:r w:rsidRPr="00B6588A">
        <w:rPr>
          <w:rFonts w:ascii="Times New Roman" w:hAnsi="Times New Roman" w:cs="Times New Roman"/>
          <w:b/>
          <w:bCs/>
          <w:sz w:val="32"/>
          <w:szCs w:val="32"/>
        </w:rPr>
        <w:t>Appendix A – Historical drilling compilation</w:t>
      </w:r>
    </w:p>
    <w:p w14:paraId="38E29833" w14:textId="5D7B71E0" w:rsidR="00B6588A" w:rsidRDefault="001C7C74" w:rsidP="001C7C74">
      <w:pPr>
        <w:rPr>
          <w:rFonts w:ascii="Times New Roman" w:hAnsi="Times New Roman" w:cs="Times New Roman"/>
          <w:sz w:val="24"/>
          <w:szCs w:val="24"/>
        </w:rPr>
      </w:pPr>
      <w:r w:rsidRPr="001C7C74">
        <w:rPr>
          <w:rFonts w:ascii="Times New Roman" w:hAnsi="Times New Roman" w:cs="Times New Roman"/>
          <w:sz w:val="24"/>
          <w:szCs w:val="24"/>
        </w:rPr>
        <w:t>Mills, S.E., 2025, The intersection of framework geology and mineral potential assessment in the Gold Hill mining district:</w:t>
      </w:r>
      <w:r>
        <w:rPr>
          <w:rFonts w:ascii="Times New Roman" w:hAnsi="Times New Roman" w:cs="Times New Roman"/>
          <w:sz w:val="24"/>
          <w:szCs w:val="24"/>
        </w:rPr>
        <w:t xml:space="preserve"> </w:t>
      </w:r>
      <w:r w:rsidRPr="001C7C74">
        <w:rPr>
          <w:rFonts w:ascii="Times New Roman" w:hAnsi="Times New Roman" w:cs="Times New Roman"/>
          <w:sz w:val="24"/>
          <w:szCs w:val="24"/>
        </w:rPr>
        <w:t xml:space="preserve">Utah Geological Survey Special Study 175, 54 p., 4 appendices, </w:t>
      </w:r>
      <w:hyperlink r:id="rId4" w:history="1">
        <w:r w:rsidRPr="0011079D">
          <w:rPr>
            <w:rStyle w:val="Hyperlink"/>
            <w:rFonts w:ascii="Times New Roman" w:hAnsi="Times New Roman" w:cs="Times New Roman"/>
            <w:sz w:val="24"/>
            <w:szCs w:val="24"/>
          </w:rPr>
          <w:t>https://doi.org/10.34191/SS-175</w:t>
        </w:r>
      </w:hyperlink>
      <w:r w:rsidRPr="001C7C74">
        <w:rPr>
          <w:rFonts w:ascii="Times New Roman" w:hAnsi="Times New Roman" w:cs="Times New Roman"/>
          <w:sz w:val="24"/>
          <w:szCs w:val="24"/>
        </w:rPr>
        <w:t>.</w:t>
      </w:r>
    </w:p>
    <w:p w14:paraId="3E6A849C" w14:textId="77777777" w:rsidR="00037C4C" w:rsidRDefault="00037C4C" w:rsidP="00037C4C">
      <w:pPr>
        <w:rPr>
          <w:rFonts w:ascii="Times New Roman" w:hAnsi="Times New Roman" w:cs="Times New Roman"/>
          <w:b/>
          <w:bCs/>
          <w:sz w:val="28"/>
          <w:szCs w:val="28"/>
        </w:rPr>
      </w:pPr>
      <w:r>
        <w:rPr>
          <w:rFonts w:ascii="Times New Roman" w:hAnsi="Times New Roman" w:cs="Times New Roman"/>
          <w:b/>
          <w:bCs/>
          <w:sz w:val="28"/>
          <w:szCs w:val="28"/>
        </w:rPr>
        <w:t>Summary</w:t>
      </w:r>
    </w:p>
    <w:p w14:paraId="55DB42EB" w14:textId="335F7038" w:rsidR="00B6588A" w:rsidRDefault="00B6588A">
      <w:pPr>
        <w:rPr>
          <w:rFonts w:ascii="Times New Roman" w:hAnsi="Times New Roman" w:cs="Times New Roman"/>
          <w:sz w:val="24"/>
          <w:szCs w:val="24"/>
        </w:rPr>
      </w:pPr>
      <w:r w:rsidRPr="00B6588A">
        <w:rPr>
          <w:rFonts w:ascii="Times New Roman" w:hAnsi="Times New Roman" w:cs="Times New Roman"/>
          <w:sz w:val="24"/>
          <w:szCs w:val="24"/>
        </w:rPr>
        <w:t xml:space="preserve">The data contained in Appendix A are a compilation of all known modern exploration (1970s to present) drillholes in the Gold Hill district. Hole location and metadata was sourced from a variety of internal files from the Utah Geological Survey and the Utah Division of Oil, Gas, and Mining. Many drillhole locations were digitized from historical maps hence locations are approximate. Metadata pertaining to hole survey information (depth, inclination, azimuth) and hole type are given where known. In some cases, drillholes were shown on maps with no accompanying metadata in the report. These drillholes </w:t>
      </w:r>
      <w:r>
        <w:rPr>
          <w:rFonts w:ascii="Times New Roman" w:hAnsi="Times New Roman" w:cs="Times New Roman"/>
          <w:sz w:val="24"/>
          <w:szCs w:val="24"/>
        </w:rPr>
        <w:t>are</w:t>
      </w:r>
      <w:r w:rsidRPr="00B6588A">
        <w:rPr>
          <w:rFonts w:ascii="Times New Roman" w:hAnsi="Times New Roman" w:cs="Times New Roman"/>
          <w:sz w:val="24"/>
          <w:szCs w:val="24"/>
        </w:rPr>
        <w:t xml:space="preserve"> included</w:t>
      </w:r>
      <w:r>
        <w:rPr>
          <w:rFonts w:ascii="Times New Roman" w:hAnsi="Times New Roman" w:cs="Times New Roman"/>
          <w:sz w:val="24"/>
          <w:szCs w:val="24"/>
        </w:rPr>
        <w:t xml:space="preserve"> in the compilation</w:t>
      </w:r>
      <w:r w:rsidRPr="00B6588A">
        <w:rPr>
          <w:rFonts w:ascii="Times New Roman" w:hAnsi="Times New Roman" w:cs="Times New Roman"/>
          <w:sz w:val="24"/>
          <w:szCs w:val="24"/>
        </w:rPr>
        <w:t xml:space="preserve"> as the author believe the holes are likely valid. </w:t>
      </w:r>
    </w:p>
    <w:p w14:paraId="7A769830" w14:textId="77777777" w:rsidR="00037C4C" w:rsidRDefault="00037C4C">
      <w:pPr>
        <w:rPr>
          <w:rFonts w:ascii="Times New Roman" w:hAnsi="Times New Roman" w:cs="Times New Roman"/>
          <w:b/>
          <w:bCs/>
          <w:sz w:val="28"/>
          <w:szCs w:val="28"/>
        </w:rPr>
      </w:pPr>
    </w:p>
    <w:p w14:paraId="686C3C26" w14:textId="176E3867" w:rsidR="00992346" w:rsidRDefault="00992346">
      <w:pPr>
        <w:rPr>
          <w:rFonts w:ascii="Times New Roman" w:hAnsi="Times New Roman" w:cs="Times New Roman"/>
          <w:b/>
          <w:bCs/>
          <w:sz w:val="28"/>
          <w:szCs w:val="28"/>
        </w:rPr>
      </w:pPr>
      <w:r w:rsidRPr="00473A4F">
        <w:rPr>
          <w:rFonts w:ascii="Times New Roman" w:hAnsi="Times New Roman" w:cs="Times New Roman"/>
          <w:b/>
          <w:bCs/>
          <w:sz w:val="28"/>
          <w:szCs w:val="28"/>
        </w:rPr>
        <w:t>Explanation of data fields</w:t>
      </w:r>
    </w:p>
    <w:p w14:paraId="6F2D4C9E" w14:textId="4D3ADC2C" w:rsidR="00147AD4" w:rsidRPr="00473A4F" w:rsidRDefault="00147AD4">
      <w:pPr>
        <w:rPr>
          <w:rFonts w:ascii="Times New Roman" w:hAnsi="Times New Roman" w:cs="Times New Roman"/>
          <w:b/>
          <w:bCs/>
          <w:sz w:val="28"/>
          <w:szCs w:val="28"/>
        </w:rPr>
      </w:pPr>
      <w:r>
        <w:rPr>
          <w:rFonts w:ascii="Times New Roman" w:hAnsi="Times New Roman" w:cs="Times New Roman"/>
          <w:b/>
          <w:bCs/>
        </w:rPr>
        <w:t>File name: Appendix A – Historical drilling compilation</w:t>
      </w:r>
      <w:r w:rsidR="0082441C">
        <w:rPr>
          <w:rFonts w:ascii="Times New Roman" w:hAnsi="Times New Roman" w:cs="Times New Roman"/>
          <w:b/>
          <w:bCs/>
        </w:rPr>
        <w:t>.xlsx</w:t>
      </w:r>
    </w:p>
    <w:p w14:paraId="3778F4B8" w14:textId="1B8E7C8F" w:rsidR="00992346" w:rsidRPr="00992346" w:rsidRDefault="00992346" w:rsidP="00992346">
      <w:pPr>
        <w:rPr>
          <w:rFonts w:ascii="Times New Roman" w:hAnsi="Times New Roman" w:cs="Times New Roman"/>
          <w:sz w:val="24"/>
          <w:szCs w:val="24"/>
        </w:rPr>
      </w:pPr>
      <w:proofErr w:type="spellStart"/>
      <w:r w:rsidRPr="00992346">
        <w:rPr>
          <w:rFonts w:ascii="Times New Roman" w:hAnsi="Times New Roman" w:cs="Times New Roman"/>
          <w:sz w:val="24"/>
          <w:szCs w:val="24"/>
        </w:rPr>
        <w:t>HoleID</w:t>
      </w:r>
      <w:proofErr w:type="spellEnd"/>
      <w:r>
        <w:rPr>
          <w:rFonts w:ascii="Times New Roman" w:hAnsi="Times New Roman" w:cs="Times New Roman"/>
          <w:sz w:val="24"/>
          <w:szCs w:val="24"/>
        </w:rPr>
        <w:t xml:space="preserve">: Unique hole identifier assigned by the company. Where a hole was shown in historical files, e.g., historical exploration maps, but no identifier is given, the </w:t>
      </w:r>
      <w:proofErr w:type="spellStart"/>
      <w:r>
        <w:rPr>
          <w:rFonts w:ascii="Times New Roman" w:hAnsi="Times New Roman" w:cs="Times New Roman"/>
          <w:sz w:val="24"/>
          <w:szCs w:val="24"/>
        </w:rPr>
        <w:t>HoleID</w:t>
      </w:r>
      <w:proofErr w:type="spellEnd"/>
      <w:r>
        <w:rPr>
          <w:rFonts w:ascii="Times New Roman" w:hAnsi="Times New Roman" w:cs="Times New Roman"/>
          <w:sz w:val="24"/>
          <w:szCs w:val="24"/>
        </w:rPr>
        <w:t xml:space="preserve"> is given as “Unknown”.</w:t>
      </w:r>
    </w:p>
    <w:p w14:paraId="36511A59" w14:textId="310A3288" w:rsidR="00992346" w:rsidRPr="00992346" w:rsidRDefault="00992346" w:rsidP="00992346">
      <w:pPr>
        <w:rPr>
          <w:rFonts w:ascii="Times New Roman" w:hAnsi="Times New Roman" w:cs="Times New Roman"/>
          <w:sz w:val="24"/>
          <w:szCs w:val="24"/>
        </w:rPr>
      </w:pPr>
      <w:proofErr w:type="spellStart"/>
      <w:r w:rsidRPr="00992346">
        <w:rPr>
          <w:rFonts w:ascii="Times New Roman" w:hAnsi="Times New Roman" w:cs="Times New Roman"/>
          <w:sz w:val="24"/>
          <w:szCs w:val="24"/>
        </w:rPr>
        <w:t>Collar_Easting</w:t>
      </w:r>
      <w:proofErr w:type="spellEnd"/>
      <w:r>
        <w:rPr>
          <w:rFonts w:ascii="Times New Roman" w:hAnsi="Times New Roman" w:cs="Times New Roman"/>
          <w:sz w:val="24"/>
          <w:szCs w:val="24"/>
        </w:rPr>
        <w:t xml:space="preserve">: UTM x-axis coordinate of the drillhole collar location. </w:t>
      </w:r>
    </w:p>
    <w:p w14:paraId="606CAA90" w14:textId="0434E69E" w:rsidR="00992346" w:rsidRPr="00992346" w:rsidRDefault="00992346" w:rsidP="00992346">
      <w:pPr>
        <w:rPr>
          <w:rFonts w:ascii="Times New Roman" w:hAnsi="Times New Roman" w:cs="Times New Roman"/>
          <w:sz w:val="24"/>
          <w:szCs w:val="24"/>
        </w:rPr>
      </w:pPr>
      <w:proofErr w:type="spellStart"/>
      <w:r w:rsidRPr="00992346">
        <w:rPr>
          <w:rFonts w:ascii="Times New Roman" w:hAnsi="Times New Roman" w:cs="Times New Roman"/>
          <w:sz w:val="24"/>
          <w:szCs w:val="24"/>
        </w:rPr>
        <w:t>Collar_Northing</w:t>
      </w:r>
      <w:proofErr w:type="spellEnd"/>
      <w:r>
        <w:rPr>
          <w:rFonts w:ascii="Times New Roman" w:hAnsi="Times New Roman" w:cs="Times New Roman"/>
          <w:sz w:val="24"/>
          <w:szCs w:val="24"/>
        </w:rPr>
        <w:t>: UTM y-axis coordinate of the drillhole collar location.</w:t>
      </w:r>
    </w:p>
    <w:p w14:paraId="43D8352C" w14:textId="6AF0A8E4" w:rsidR="00992346" w:rsidRPr="00992346" w:rsidRDefault="00992346" w:rsidP="00992346">
      <w:pPr>
        <w:rPr>
          <w:rFonts w:ascii="Times New Roman" w:hAnsi="Times New Roman" w:cs="Times New Roman"/>
          <w:sz w:val="24"/>
          <w:szCs w:val="24"/>
        </w:rPr>
      </w:pPr>
      <w:r w:rsidRPr="00992346">
        <w:rPr>
          <w:rFonts w:ascii="Times New Roman" w:hAnsi="Times New Roman" w:cs="Times New Roman"/>
          <w:sz w:val="24"/>
          <w:szCs w:val="24"/>
        </w:rPr>
        <w:t>Datum</w:t>
      </w:r>
      <w:r>
        <w:rPr>
          <w:rFonts w:ascii="Times New Roman" w:hAnsi="Times New Roman" w:cs="Times New Roman"/>
          <w:sz w:val="24"/>
          <w:szCs w:val="24"/>
        </w:rPr>
        <w:t xml:space="preserve">: The datum for the collar easting and northing. In this data, all collar coordinates are given in NAD83, zone 12N. </w:t>
      </w:r>
    </w:p>
    <w:p w14:paraId="587CB12C" w14:textId="2DB0CF73" w:rsidR="00992346" w:rsidRPr="00992346" w:rsidRDefault="00992346" w:rsidP="00992346">
      <w:pPr>
        <w:rPr>
          <w:rFonts w:ascii="Times New Roman" w:hAnsi="Times New Roman" w:cs="Times New Roman"/>
          <w:sz w:val="24"/>
          <w:szCs w:val="24"/>
        </w:rPr>
      </w:pPr>
      <w:r w:rsidRPr="00992346">
        <w:rPr>
          <w:rFonts w:ascii="Times New Roman" w:hAnsi="Times New Roman" w:cs="Times New Roman"/>
          <w:sz w:val="24"/>
          <w:szCs w:val="24"/>
        </w:rPr>
        <w:t>Company</w:t>
      </w:r>
      <w:r>
        <w:rPr>
          <w:rFonts w:ascii="Times New Roman" w:hAnsi="Times New Roman" w:cs="Times New Roman"/>
          <w:sz w:val="24"/>
          <w:szCs w:val="24"/>
        </w:rPr>
        <w:t>: The company leading the exploration campaign that the drillholes were part of (as opposed to the drilling contractor). Where a hole was shown in historical files, e.g., historical exploration maps, but no company is known, the Company field is given as “Unknown”.</w:t>
      </w:r>
    </w:p>
    <w:p w14:paraId="42A5DD2B" w14:textId="147EF8E9" w:rsidR="00992346" w:rsidRPr="00992346" w:rsidRDefault="00992346" w:rsidP="00992346">
      <w:pPr>
        <w:rPr>
          <w:rFonts w:ascii="Times New Roman" w:hAnsi="Times New Roman" w:cs="Times New Roman"/>
          <w:sz w:val="24"/>
          <w:szCs w:val="24"/>
        </w:rPr>
      </w:pPr>
      <w:r w:rsidRPr="00992346">
        <w:rPr>
          <w:rFonts w:ascii="Times New Roman" w:hAnsi="Times New Roman" w:cs="Times New Roman"/>
          <w:sz w:val="24"/>
          <w:szCs w:val="24"/>
        </w:rPr>
        <w:t>Year</w:t>
      </w:r>
      <w:r>
        <w:rPr>
          <w:rFonts w:ascii="Times New Roman" w:hAnsi="Times New Roman" w:cs="Times New Roman"/>
          <w:sz w:val="24"/>
          <w:szCs w:val="24"/>
        </w:rPr>
        <w:t xml:space="preserve">: The year or timeframe during which the hole was drilled. Where the year is no known, the Year field is given as “Unknown”. </w:t>
      </w:r>
    </w:p>
    <w:p w14:paraId="7022A1F2" w14:textId="3D937E27" w:rsidR="00992346" w:rsidRPr="00992346" w:rsidRDefault="00992346" w:rsidP="00992346">
      <w:pPr>
        <w:rPr>
          <w:rFonts w:ascii="Times New Roman" w:hAnsi="Times New Roman" w:cs="Times New Roman"/>
          <w:sz w:val="24"/>
          <w:szCs w:val="24"/>
        </w:rPr>
      </w:pPr>
      <w:proofErr w:type="spellStart"/>
      <w:r w:rsidRPr="00992346">
        <w:rPr>
          <w:rFonts w:ascii="Times New Roman" w:hAnsi="Times New Roman" w:cs="Times New Roman"/>
          <w:sz w:val="24"/>
          <w:szCs w:val="24"/>
        </w:rPr>
        <w:t>TotalDepthFt</w:t>
      </w:r>
      <w:proofErr w:type="spellEnd"/>
      <w:r>
        <w:rPr>
          <w:rFonts w:ascii="Times New Roman" w:hAnsi="Times New Roman" w:cs="Times New Roman"/>
          <w:sz w:val="24"/>
          <w:szCs w:val="24"/>
        </w:rPr>
        <w:t xml:space="preserve">: The total depth reached for a given drillhole in units of feet. Where total depth is not known, the </w:t>
      </w:r>
      <w:proofErr w:type="spellStart"/>
      <w:r w:rsidRPr="00992346">
        <w:rPr>
          <w:rFonts w:ascii="Times New Roman" w:hAnsi="Times New Roman" w:cs="Times New Roman"/>
          <w:sz w:val="24"/>
          <w:szCs w:val="24"/>
        </w:rPr>
        <w:t>TotalDepthFt</w:t>
      </w:r>
      <w:proofErr w:type="spellEnd"/>
      <w:r>
        <w:rPr>
          <w:rFonts w:ascii="Times New Roman" w:hAnsi="Times New Roman" w:cs="Times New Roman"/>
          <w:sz w:val="24"/>
          <w:szCs w:val="24"/>
        </w:rPr>
        <w:t xml:space="preserve"> field is left blank.</w:t>
      </w:r>
    </w:p>
    <w:p w14:paraId="7BABAD42" w14:textId="03FD4A21" w:rsidR="00992346" w:rsidRPr="00992346" w:rsidRDefault="00992346" w:rsidP="00992346">
      <w:pPr>
        <w:rPr>
          <w:rFonts w:ascii="Times New Roman" w:hAnsi="Times New Roman" w:cs="Times New Roman"/>
          <w:sz w:val="24"/>
          <w:szCs w:val="24"/>
        </w:rPr>
      </w:pPr>
      <w:r w:rsidRPr="00992346">
        <w:rPr>
          <w:rFonts w:ascii="Times New Roman" w:hAnsi="Times New Roman" w:cs="Times New Roman"/>
          <w:sz w:val="24"/>
          <w:szCs w:val="24"/>
        </w:rPr>
        <w:t>Inclination</w:t>
      </w:r>
      <w:r>
        <w:rPr>
          <w:rFonts w:ascii="Times New Roman" w:hAnsi="Times New Roman" w:cs="Times New Roman"/>
          <w:sz w:val="24"/>
          <w:szCs w:val="24"/>
        </w:rPr>
        <w:t xml:space="preserve">: The deviation of the drillhole from vertical, measured in degrees (0-90°). Vertical holes have an inclination of 90°. Where inclination is not known, the Inclination field is left blank. </w:t>
      </w:r>
    </w:p>
    <w:p w14:paraId="0422AFFF" w14:textId="2EFF1131" w:rsidR="00992346" w:rsidRPr="00992346" w:rsidRDefault="00992346" w:rsidP="00992346">
      <w:pPr>
        <w:rPr>
          <w:rFonts w:ascii="Times New Roman" w:hAnsi="Times New Roman" w:cs="Times New Roman"/>
          <w:sz w:val="24"/>
          <w:szCs w:val="24"/>
        </w:rPr>
      </w:pPr>
      <w:r w:rsidRPr="00992346">
        <w:rPr>
          <w:rFonts w:ascii="Times New Roman" w:hAnsi="Times New Roman" w:cs="Times New Roman"/>
          <w:sz w:val="24"/>
          <w:szCs w:val="24"/>
        </w:rPr>
        <w:lastRenderedPageBreak/>
        <w:t>Azimuth</w:t>
      </w:r>
      <w:r>
        <w:rPr>
          <w:rFonts w:ascii="Times New Roman" w:hAnsi="Times New Roman" w:cs="Times New Roman"/>
          <w:sz w:val="24"/>
          <w:szCs w:val="24"/>
        </w:rPr>
        <w:t xml:space="preserve">: The compass direction an inclined drillhole is drilled towards (0-360°). </w:t>
      </w:r>
      <w:r w:rsidR="00473A4F">
        <w:rPr>
          <w:rFonts w:ascii="Times New Roman" w:hAnsi="Times New Roman" w:cs="Times New Roman"/>
          <w:sz w:val="24"/>
          <w:szCs w:val="24"/>
        </w:rPr>
        <w:t>Where azimuth is not known, the Azimuth field is left blank.</w:t>
      </w:r>
    </w:p>
    <w:p w14:paraId="0C0703F4" w14:textId="62BD367C" w:rsidR="00992346" w:rsidRPr="00B6588A" w:rsidRDefault="00992346" w:rsidP="00992346">
      <w:pPr>
        <w:rPr>
          <w:rFonts w:ascii="Times New Roman" w:hAnsi="Times New Roman" w:cs="Times New Roman"/>
          <w:sz w:val="24"/>
          <w:szCs w:val="24"/>
        </w:rPr>
      </w:pPr>
      <w:r w:rsidRPr="00992346">
        <w:rPr>
          <w:rFonts w:ascii="Times New Roman" w:hAnsi="Times New Roman" w:cs="Times New Roman"/>
          <w:sz w:val="24"/>
          <w:szCs w:val="24"/>
        </w:rPr>
        <w:t>Type</w:t>
      </w:r>
      <w:r w:rsidR="00473A4F">
        <w:rPr>
          <w:rFonts w:ascii="Times New Roman" w:hAnsi="Times New Roman" w:cs="Times New Roman"/>
          <w:sz w:val="24"/>
          <w:szCs w:val="24"/>
        </w:rPr>
        <w:t xml:space="preserve">: The type of drilling used for the hole, including reverse circulation which produced chips and diamond core, or a mixture of the two. Where the hole type is not known, the Type field is left blank. </w:t>
      </w:r>
    </w:p>
    <w:sectPr w:rsidR="00992346" w:rsidRPr="00B65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88A"/>
    <w:rsid w:val="00037C4C"/>
    <w:rsid w:val="00147AD4"/>
    <w:rsid w:val="001C7C74"/>
    <w:rsid w:val="002B3D4C"/>
    <w:rsid w:val="00473A4F"/>
    <w:rsid w:val="0082441C"/>
    <w:rsid w:val="00992346"/>
    <w:rsid w:val="00A25507"/>
    <w:rsid w:val="00B6588A"/>
    <w:rsid w:val="00DF7004"/>
    <w:rsid w:val="00F80FE6"/>
    <w:rsid w:val="00FA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572A5"/>
  <w15:chartTrackingRefBased/>
  <w15:docId w15:val="{02EC6380-BA26-43FF-8AA3-852DEEE0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58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58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58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58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58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58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58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58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58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58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58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58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58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58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58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58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58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588A"/>
    <w:rPr>
      <w:rFonts w:eastAsiaTheme="majorEastAsia" w:cstheme="majorBidi"/>
      <w:color w:val="272727" w:themeColor="text1" w:themeTint="D8"/>
    </w:rPr>
  </w:style>
  <w:style w:type="paragraph" w:styleId="Title">
    <w:name w:val="Title"/>
    <w:basedOn w:val="Normal"/>
    <w:next w:val="Normal"/>
    <w:link w:val="TitleChar"/>
    <w:uiPriority w:val="10"/>
    <w:qFormat/>
    <w:rsid w:val="00B658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58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58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58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588A"/>
    <w:pPr>
      <w:spacing w:before="160"/>
      <w:jc w:val="center"/>
    </w:pPr>
    <w:rPr>
      <w:i/>
      <w:iCs/>
      <w:color w:val="404040" w:themeColor="text1" w:themeTint="BF"/>
    </w:rPr>
  </w:style>
  <w:style w:type="character" w:customStyle="1" w:styleId="QuoteChar">
    <w:name w:val="Quote Char"/>
    <w:basedOn w:val="DefaultParagraphFont"/>
    <w:link w:val="Quote"/>
    <w:uiPriority w:val="29"/>
    <w:rsid w:val="00B6588A"/>
    <w:rPr>
      <w:i/>
      <w:iCs/>
      <w:color w:val="404040" w:themeColor="text1" w:themeTint="BF"/>
    </w:rPr>
  </w:style>
  <w:style w:type="paragraph" w:styleId="ListParagraph">
    <w:name w:val="List Paragraph"/>
    <w:basedOn w:val="Normal"/>
    <w:uiPriority w:val="34"/>
    <w:qFormat/>
    <w:rsid w:val="00B6588A"/>
    <w:pPr>
      <w:ind w:left="720"/>
      <w:contextualSpacing/>
    </w:pPr>
  </w:style>
  <w:style w:type="character" w:styleId="IntenseEmphasis">
    <w:name w:val="Intense Emphasis"/>
    <w:basedOn w:val="DefaultParagraphFont"/>
    <w:uiPriority w:val="21"/>
    <w:qFormat/>
    <w:rsid w:val="00B6588A"/>
    <w:rPr>
      <w:i/>
      <w:iCs/>
      <w:color w:val="0F4761" w:themeColor="accent1" w:themeShade="BF"/>
    </w:rPr>
  </w:style>
  <w:style w:type="paragraph" w:styleId="IntenseQuote">
    <w:name w:val="Intense Quote"/>
    <w:basedOn w:val="Normal"/>
    <w:next w:val="Normal"/>
    <w:link w:val="IntenseQuoteChar"/>
    <w:uiPriority w:val="30"/>
    <w:qFormat/>
    <w:rsid w:val="00B658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588A"/>
    <w:rPr>
      <w:i/>
      <w:iCs/>
      <w:color w:val="0F4761" w:themeColor="accent1" w:themeShade="BF"/>
    </w:rPr>
  </w:style>
  <w:style w:type="character" w:styleId="IntenseReference">
    <w:name w:val="Intense Reference"/>
    <w:basedOn w:val="DefaultParagraphFont"/>
    <w:uiPriority w:val="32"/>
    <w:qFormat/>
    <w:rsid w:val="00B6588A"/>
    <w:rPr>
      <w:b/>
      <w:bCs/>
      <w:smallCaps/>
      <w:color w:val="0F4761" w:themeColor="accent1" w:themeShade="BF"/>
      <w:spacing w:val="5"/>
    </w:rPr>
  </w:style>
  <w:style w:type="character" w:styleId="Hyperlink">
    <w:name w:val="Hyperlink"/>
    <w:basedOn w:val="DefaultParagraphFont"/>
    <w:uiPriority w:val="99"/>
    <w:unhideWhenUsed/>
    <w:rsid w:val="001C7C74"/>
    <w:rPr>
      <w:color w:val="467886" w:themeColor="hyperlink"/>
      <w:u w:val="single"/>
    </w:rPr>
  </w:style>
  <w:style w:type="character" w:styleId="UnresolvedMention">
    <w:name w:val="Unresolved Mention"/>
    <w:basedOn w:val="DefaultParagraphFont"/>
    <w:uiPriority w:val="99"/>
    <w:semiHidden/>
    <w:unhideWhenUsed/>
    <w:rsid w:val="001C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i.org/10.34191/SS-1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397</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Mills</dc:creator>
  <cp:keywords/>
  <dc:description/>
  <cp:lastModifiedBy>Jennifer Miller</cp:lastModifiedBy>
  <cp:revision>7</cp:revision>
  <dcterms:created xsi:type="dcterms:W3CDTF">2024-12-12T21:03:00Z</dcterms:created>
  <dcterms:modified xsi:type="dcterms:W3CDTF">2025-07-02T13:27:00Z</dcterms:modified>
</cp:coreProperties>
</file>